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二、法律規定教育議題實施規劃</w:t>
      </w:r>
      <w:bookmarkEnd w:id="0"/>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1" w:name="_Toc4420646"/>
      <w:r>
        <w:lastRenderedPageBreak/>
        <w:t>(</w:t>
      </w:r>
      <w:r>
        <w:rPr>
          <w:rFonts w:hint="eastAsia"/>
        </w:rPr>
        <w:t>一</w:t>
      </w:r>
      <w:r>
        <w:t>)</w:t>
      </w:r>
      <w:r w:rsidR="00ED6C67">
        <w:rPr>
          <w:rFonts w:hint="eastAsia"/>
        </w:rPr>
        <w:t>二</w:t>
      </w:r>
      <w:bookmarkStart w:id="2" w:name="_GoBack"/>
      <w:bookmarkEnd w:id="2"/>
      <w:r>
        <w:rPr>
          <w:rFonts w:hint="eastAsia"/>
        </w:rPr>
        <w:t>年級（表3-3）</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4975EA"/>
    <w:rsid w:val="00571ACC"/>
    <w:rsid w:val="00ED6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427"/>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2019-06-05T15:46:00Z</dcterms:created>
  <dcterms:modified xsi:type="dcterms:W3CDTF">2019-06-05T15:46:00Z</dcterms:modified>
</cp:coreProperties>
</file>